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  <w:r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  <w:t>中国驻澳大利亚使领</w:t>
      </w:r>
      <w:bookmarkStart w:id="0" w:name="_GoBack"/>
      <w:bookmarkEnd w:id="0"/>
      <w:r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  <w:t>馆关于“中国领事”APP的使用说明</w:t>
      </w:r>
    </w:p>
    <w:p>
      <w:pPr>
        <w:widowControl/>
        <w:wordWrap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一、下载注册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可通过苹果应用商店、腾讯应用宝商店、小米应用商店、华为应用商店或扫描下图中的二维码下载。下载成功后打开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，使用中国手机号或电子邮箱进行注册，根据提示完成实名认证，之后即可正常登录使用。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  <w:lang w:val="en-US" w:eastAsia="zh-CN" w:bidi="ar-SA"/>
        </w:rPr>
        <w:pict>
          <v:shape id="图片 2" o:spid="_x0000_s1026" type="#_x0000_t75" style="height:210.75pt;width:241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二、业务办理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（一）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信息填报：登录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后，选择“护照旅行证”（适用于申请护照或旅行证颁发、换发或补发人员）业务模块，根据提示要求逐步、完整、准确地填写个人基本信息，在线签字确认《国籍状况声明书》，按要求格式上传证件照片、现持护照资料页等材料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cs="外交粗仿宋"/>
          <w:snapToGrid w:val="0"/>
          <w:sz w:val="32"/>
          <w:szCs w:val="32"/>
          <w:lang w:eastAsia="zh-CN"/>
        </w:rPr>
        <w:t>（二）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选择递交材料和取件方式：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default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递交材料：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如无特殊情况，所有办证材料均可通过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线上提交。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护照或旅行证换发业务申请人如选择邮寄取件，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在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上收到“</w:t>
      </w:r>
      <w:r>
        <w:rPr>
          <w:rFonts w:hint="eastAsia" w:ascii="外交粗仿宋" w:hAnsi="外交粗仿宋" w:cs="外交粗仿宋"/>
          <w:b/>
          <w:sz w:val="32"/>
          <w:szCs w:val="32"/>
          <w:lang w:eastAsia="zh-CN"/>
        </w:rPr>
        <w:t>复审中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”信息后须将打印或手写的申请人姓名及订单号、旧护照或旅行证邮寄至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eastAsia="zh-CN"/>
        </w:rPr>
        <w:t>我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。旧照注销后将同新证件、发票一同寄回。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2、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领取证件：有到馆取证、邮寄取证两种方式供选择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。目前仅为邮寄取证方式。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证件制作完毕后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使领馆将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寄出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3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、身份验证：为确保相关证件申请系本人操作，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将对申请人进行人脸识别。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人脸识别失败不影响申请人提交申请，但请务必由申请人本人完成人脸识别。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4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、支付缴费：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支持微信线上缴费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，申请人亦可选择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邮寄《信用卡付款表》或现金支票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缴费。如证件不符合受理条件或需退还差额，费用退还将通过原支付渠道进行。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5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、提交订单：完成上述步骤并成功提交订单后，相关申请将提交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使领馆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审核。申请人可在“我的订单”或“消息中心”跟踪办证进度，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使领馆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工作人员将及时反馈审核进展，视情在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中留言要求补充上传材料。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6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、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面谈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面审：护照或旅行证申请人为未成年人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或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人脸识别未通过等情形，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使领馆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可能要求与申请人通过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进行视频面谈。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申请人应注意关注订单状态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，及时选择预约时间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。选择视频面谈的</w:t>
      </w:r>
      <w:r>
        <w:rPr>
          <w:rFonts w:hint="eastAsia" w:ascii="外交粗仿宋" w:hAnsi="外交粗仿宋" w:cs="外交粗仿宋"/>
          <w:b/>
          <w:sz w:val="32"/>
          <w:szCs w:val="32"/>
          <w:lang w:eastAsia="zh-CN"/>
        </w:rPr>
        <w:t>使领馆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工作人员会按照预约时间主动发起视频面谈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。视频面谈过程中，请配合进行截图操作，并回答相关提问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left="0" w:leftChars="0" w:firstLine="620" w:firstLineChars="198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三、注意事项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自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8月31日起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</w:t>
      </w:r>
      <w:r>
        <w:rPr>
          <w:rFonts w:hint="eastAsia" w:ascii="外交粗仿宋" w:hAnsi="外交粗仿宋" w:cs="外交粗仿宋"/>
          <w:b/>
          <w:bCs/>
          <w:sz w:val="32"/>
          <w:szCs w:val="32"/>
          <w:lang w:eastAsia="zh-CN"/>
        </w:rPr>
        <w:t>驻澳使领馆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仅受理在</w:t>
      </w:r>
      <w:r>
        <w:rPr>
          <w:rFonts w:hint="eastAsia" w:ascii="外交粗仿宋" w:hAnsi="外交粗仿宋" w:cs="外交粗仿宋"/>
          <w:b/>
          <w:sz w:val="32"/>
          <w:szCs w:val="32"/>
          <w:lang w:eastAsia="zh-CN"/>
        </w:rPr>
        <w:t>澳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中国公民通过“中国领事”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提交的有关业务申请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。如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您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不在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澳大利亚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，请向中国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驻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当地使领馆提出申请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实名认证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注册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目前仅支持中国普通护照或身份证号码（后续可能增加其他认证方式）。如无上述证件，可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通过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他人已实名认证的账号办理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上线启用后，确有特殊紧急需要人员，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仍可通过电话、邮件等方式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联系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领区内使领馆提出申请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四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）通过“中国领事”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申办的护照不包含申请人指纹信息。无指纹不影响护照正常使用，仅在入境中国时无法自助通关，须走人工通道。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五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目前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尚未开通因公护照换发办理</w:t>
      </w:r>
      <w:r>
        <w:rPr>
          <w:rFonts w:hint="eastAsia" w:ascii="外交粗仿宋" w:hAnsi="外交粗仿宋" w:cs="外交粗仿宋"/>
          <w:b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六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）所有业务申办费用均须通过“中国领事”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线上支付或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邮寄《信用卡付款表》、现金支票支付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</w:p>
    <w:p>
      <w:pPr>
        <w:pStyle w:val="4"/>
        <w:widowControl/>
        <w:wordWrap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eastAsia="外交粗仿宋"/>
          <w:lang w:eastAsia="zh-CN"/>
        </w:rPr>
        <w:sectPr>
          <w:footerReference r:id="rId4" w:type="even"/>
          <w:pgSz w:w="11906" w:h="16838"/>
          <w:pgMar w:top="2098" w:right="1582" w:bottom="567" w:left="1582" w:header="0" w:footer="1871" w:gutter="0"/>
          <w:cols w:space="720" w:num="1"/>
          <w:titlePg/>
          <w:docGrid w:type="linesAndChars" w:linePitch="574" w:charSpace="-1595"/>
        </w:sectPr>
      </w:pPr>
      <w:r>
        <w:rPr>
          <w:rFonts w:hint="eastAsia" w:ascii="外交粗仿宋" w:hAnsi="外交粗仿宋" w:cs="外交粗仿宋"/>
          <w:sz w:val="32"/>
          <w:szCs w:val="32"/>
          <w:lang w:eastAsia="zh-CN"/>
        </w:rPr>
        <w:t>（七）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使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馆不会通过电话或视频要求申请人支付费用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请谨防假借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使领馆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名义的各类电信诈骗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_New_Roman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外交粗仿宋">
    <w:altName w:val="仿宋"/>
    <w:panose1 w:val="03000509000000000000"/>
    <w:charset w:val="80"/>
    <w:family w:val="auto"/>
    <w:pitch w:val="default"/>
    <w:sig w:usb0="00000000" w:usb1="00000000" w:usb2="00000016" w:usb3="00000000" w:csb0="40020001" w:csb1="C0D60000"/>
  </w:font>
  <w:font w:name="外交黑体">
    <w:altName w:val="黑体"/>
    <w:panose1 w:val="03000509000000000000"/>
    <w:charset w:val="80"/>
    <w:family w:val="auto"/>
    <w:pitch w:val="default"/>
    <w:sig w:usb0="00000000" w:usb1="00000000" w:usb2="00000016" w:usb3="00000000" w:csb0="4002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xAlign="center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C82F14"/>
    <w:rsid w:val="03F262FA"/>
    <w:rsid w:val="04A63C74"/>
    <w:rsid w:val="11B33F4A"/>
    <w:rsid w:val="26795A7E"/>
    <w:rsid w:val="277A5B77"/>
    <w:rsid w:val="2FDD4E52"/>
    <w:rsid w:val="30C52AC9"/>
    <w:rsid w:val="3E757674"/>
    <w:rsid w:val="51407AA8"/>
    <w:rsid w:val="62115B3A"/>
    <w:rsid w:val="66620F3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semiHidden/>
    <w:qFormat/>
    <w:uiPriority w:val="0"/>
    <w:pPr>
      <w:framePr w:wrap="notBeside" w:vAnchor="text" w:hAnchor="margin" w:y="1"/>
      <w:tabs>
        <w:tab w:val="center" w:pos="4153"/>
        <w:tab w:val="right" w:pos="8306"/>
      </w:tabs>
      <w:jc w:val="center"/>
    </w:pPr>
    <w:rPr>
      <w:rFonts w:ascii="Times_New_Roman" w:hAnsi="Times_New_Roman" w:eastAsia="外交黑体"/>
      <w:snapToGrid w:val="0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0"/>
    <w:rPr>
      <w:rFonts w:ascii="Times_New_Roman" w:hAnsi="Times_New_Roman"/>
      <w:sz w:val="24"/>
      <w:szCs w:val="24"/>
    </w:rPr>
  </w:style>
  <w:style w:type="character" w:styleId="6">
    <w:name w:val="page number"/>
    <w:basedOn w:val="5"/>
    <w:semiHidden/>
    <w:qFormat/>
    <w:uiPriority w:val="0"/>
    <w:rPr>
      <w:rFonts w:eastAsia="外交黑体"/>
      <w:b/>
      <w:color w:val="auto"/>
      <w:spacing w:val="0"/>
      <w:w w:val="100"/>
      <w:position w:val="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ShiYongRen</cp:lastModifiedBy>
  <cp:lastPrinted>2021-08-18T07:37:00Z</cp:lastPrinted>
  <dcterms:modified xsi:type="dcterms:W3CDTF">2021-08-26T06:17:18Z</dcterms:modified>
  <dc:title>中国驻澳大利亚使馆关于“中国领事”APP的使用说明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